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29b2811cf7f437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DB2" w:rsidRPr="00D31DB2" w:rsidRDefault="00D31DB2" w:rsidP="00D31DB2">
      <w:pPr>
        <w:jc w:val="right"/>
        <w:rPr>
          <w:b/>
          <w:sz w:val="28"/>
          <w:szCs w:val="28"/>
        </w:rPr>
      </w:pPr>
      <w:r w:rsidRPr="00D31DB2">
        <w:rPr>
          <w:b/>
          <w:sz w:val="28"/>
          <w:szCs w:val="28"/>
        </w:rPr>
        <w:t>APPENDIX 1</w:t>
      </w:r>
    </w:p>
    <w:p w:rsidR="00D31DB2" w:rsidRDefault="00D31DB2" w:rsidP="00D31DB2">
      <w:pPr>
        <w:jc w:val="right"/>
        <w:rPr>
          <w:b/>
          <w:u w:val="single"/>
        </w:rPr>
      </w:pPr>
    </w:p>
    <w:p w:rsidR="008A22C6" w:rsidRDefault="00D82D5C" w:rsidP="00D31DB2">
      <w:pPr>
        <w:rPr>
          <w:b/>
          <w:u w:val="single"/>
        </w:rPr>
      </w:pPr>
      <w:r w:rsidRPr="00343AF6">
        <w:rPr>
          <w:b/>
          <w:u w:val="single"/>
        </w:rPr>
        <w:t xml:space="preserve">Public </w:t>
      </w:r>
      <w:r w:rsidR="00974F6A" w:rsidRPr="00343AF6">
        <w:rPr>
          <w:b/>
          <w:u w:val="single"/>
        </w:rPr>
        <w:t>Questions for CEB, 11/9/2013.</w:t>
      </w:r>
    </w:p>
    <w:p w:rsidR="00D31DB2" w:rsidRPr="00343AF6" w:rsidRDefault="00D31DB2" w:rsidP="00D31DB2">
      <w:pPr>
        <w:rPr>
          <w:b/>
          <w:u w:val="single"/>
        </w:rPr>
      </w:pPr>
    </w:p>
    <w:p w:rsidR="00974F6A" w:rsidRPr="00343AF6" w:rsidRDefault="00974F6A" w:rsidP="008A22C6">
      <w:pPr>
        <w:rPr>
          <w:u w:val="single"/>
        </w:rPr>
      </w:pPr>
      <w:proofErr w:type="gramStart"/>
      <w:r w:rsidRPr="00343AF6">
        <w:rPr>
          <w:u w:val="single"/>
        </w:rPr>
        <w:t>From Mr Nigel Gibson.</w:t>
      </w:r>
      <w:proofErr w:type="gramEnd"/>
    </w:p>
    <w:p w:rsidR="00974F6A" w:rsidRPr="00343AF6" w:rsidRDefault="00974F6A" w:rsidP="008A22C6"/>
    <w:p w:rsidR="00974F6A" w:rsidRPr="00141E5C" w:rsidRDefault="00974F6A" w:rsidP="00974F6A">
      <w:pPr>
        <w:rPr>
          <w:b/>
          <w:u w:val="single"/>
        </w:rPr>
      </w:pPr>
      <w:r w:rsidRPr="00141E5C">
        <w:rPr>
          <w:b/>
          <w:u w:val="single"/>
        </w:rPr>
        <w:t>Agenda Item 10, Affordable Housing and Planning Obligations</w:t>
      </w:r>
    </w:p>
    <w:p w:rsidR="00343AF6" w:rsidRPr="00343AF6" w:rsidRDefault="00343AF6" w:rsidP="00974F6A">
      <w:pPr>
        <w:rPr>
          <w:b/>
        </w:rPr>
      </w:pPr>
    </w:p>
    <w:p w:rsidR="00343AF6" w:rsidRPr="00141E5C" w:rsidRDefault="00343AF6" w:rsidP="00343AF6">
      <w:pPr>
        <w:pStyle w:val="ListParagraph"/>
        <w:ind w:left="0"/>
        <w:rPr>
          <w:b/>
        </w:rPr>
      </w:pPr>
      <w:r w:rsidRPr="00141E5C">
        <w:rPr>
          <w:b/>
          <w:u w:val="single"/>
        </w:rPr>
        <w:t xml:space="preserve">Question 1: </w:t>
      </w:r>
      <w:r w:rsidRPr="00141E5C">
        <w:rPr>
          <w:b/>
        </w:rPr>
        <w:t>Can you please confirm the number of people currently on the Housing Register, reported as 4,700 in a recent edition of the Oxford Mail?</w:t>
      </w:r>
    </w:p>
    <w:p w:rsidR="00343AF6" w:rsidRPr="00343AF6" w:rsidRDefault="00343AF6" w:rsidP="00343AF6"/>
    <w:p w:rsidR="00343AF6" w:rsidRPr="00343AF6" w:rsidRDefault="00343AF6" w:rsidP="00343AF6">
      <w:r w:rsidRPr="00343AF6">
        <w:rPr>
          <w:u w:val="single"/>
        </w:rPr>
        <w:t>Reply</w:t>
      </w:r>
      <w:r w:rsidRPr="00343AF6">
        <w:t>: As of 6</w:t>
      </w:r>
      <w:r w:rsidRPr="00343AF6">
        <w:rPr>
          <w:vertAlign w:val="superscript"/>
        </w:rPr>
        <w:t>th</w:t>
      </w:r>
      <w:r w:rsidRPr="00343AF6">
        <w:t xml:space="preserve"> September 2013 there are 4,789 households on the housing register.</w:t>
      </w:r>
    </w:p>
    <w:p w:rsidR="00343AF6" w:rsidRDefault="00343AF6" w:rsidP="00343AF6">
      <w:pPr>
        <w:pStyle w:val="ListParagraph"/>
        <w:ind w:left="0"/>
      </w:pPr>
    </w:p>
    <w:p w:rsidR="00343AF6" w:rsidRPr="00343AF6" w:rsidRDefault="00343AF6" w:rsidP="00343AF6">
      <w:pPr>
        <w:pStyle w:val="ListParagraph"/>
        <w:ind w:left="0"/>
      </w:pPr>
    </w:p>
    <w:p w:rsidR="00343AF6" w:rsidRPr="00141E5C" w:rsidRDefault="00343AF6" w:rsidP="00343AF6">
      <w:pPr>
        <w:pStyle w:val="ListParagraph"/>
        <w:ind w:left="0"/>
        <w:rPr>
          <w:b/>
        </w:rPr>
      </w:pPr>
      <w:r w:rsidRPr="00141E5C">
        <w:rPr>
          <w:b/>
          <w:u w:val="single"/>
        </w:rPr>
        <w:t>Question 2</w:t>
      </w:r>
      <w:r w:rsidRPr="00141E5C">
        <w:rPr>
          <w:b/>
        </w:rPr>
        <w:t>: Can you supply the numbers of people in each of the five housing bands that comprise the Housing Register?</w:t>
      </w:r>
    </w:p>
    <w:p w:rsidR="00343AF6" w:rsidRPr="00141E5C" w:rsidRDefault="00343AF6" w:rsidP="00343AF6">
      <w:pPr>
        <w:rPr>
          <w:b/>
        </w:rPr>
      </w:pPr>
    </w:p>
    <w:p w:rsidR="00343AF6" w:rsidRPr="00343AF6" w:rsidRDefault="00343AF6" w:rsidP="00343AF6">
      <w:pPr>
        <w:rPr>
          <w:u w:val="single"/>
        </w:rPr>
      </w:pPr>
      <w:r w:rsidRPr="00343AF6">
        <w:rPr>
          <w:u w:val="single"/>
        </w:rPr>
        <w:t>Reply:</w:t>
      </w:r>
    </w:p>
    <w:p w:rsidR="00343AF6" w:rsidRPr="00343AF6" w:rsidRDefault="00343AF6" w:rsidP="00343AF6"/>
    <w:p w:rsidR="00343AF6" w:rsidRPr="00343AF6" w:rsidRDefault="00343AF6" w:rsidP="00343AF6">
      <w:r w:rsidRPr="00343AF6">
        <w:t>Band 1:     58</w:t>
      </w:r>
    </w:p>
    <w:p w:rsidR="00343AF6" w:rsidRPr="00343AF6" w:rsidRDefault="00343AF6" w:rsidP="00343AF6">
      <w:r w:rsidRPr="00343AF6">
        <w:t xml:space="preserve">Band 2:   403 </w:t>
      </w:r>
    </w:p>
    <w:p w:rsidR="00343AF6" w:rsidRPr="00343AF6" w:rsidRDefault="00343AF6" w:rsidP="00343AF6">
      <w:r w:rsidRPr="00343AF6">
        <w:t>Band 3: 1312</w:t>
      </w:r>
    </w:p>
    <w:p w:rsidR="00343AF6" w:rsidRPr="00343AF6" w:rsidRDefault="00343AF6" w:rsidP="00343AF6">
      <w:r w:rsidRPr="00343AF6">
        <w:t>Band 4:     90</w:t>
      </w:r>
    </w:p>
    <w:p w:rsidR="00343AF6" w:rsidRPr="00343AF6" w:rsidRDefault="00343AF6" w:rsidP="00343AF6">
      <w:r w:rsidRPr="00343AF6">
        <w:t>Band 5: 2926</w:t>
      </w:r>
    </w:p>
    <w:p w:rsidR="00343AF6" w:rsidRPr="00343AF6" w:rsidRDefault="00343AF6" w:rsidP="00343AF6">
      <w:pPr>
        <w:pStyle w:val="ListParagraph"/>
      </w:pPr>
      <w:r>
        <w:br/>
      </w:r>
    </w:p>
    <w:p w:rsidR="00343AF6" w:rsidRPr="00141E5C" w:rsidRDefault="00343AF6" w:rsidP="00343AF6">
      <w:pPr>
        <w:pStyle w:val="ListParagraph"/>
        <w:ind w:left="0"/>
        <w:rPr>
          <w:b/>
        </w:rPr>
      </w:pPr>
      <w:r w:rsidRPr="00141E5C">
        <w:rPr>
          <w:b/>
          <w:u w:val="single"/>
        </w:rPr>
        <w:t>Question 3:</w:t>
      </w:r>
      <w:r w:rsidRPr="00141E5C">
        <w:rPr>
          <w:b/>
        </w:rPr>
        <w:t xml:space="preserve"> There seems to be a continual emphasis, focus and drive on increasing the amount of social housing; can you please explain why you believe there is such a demand for housing in Oxford that you need to afford spending on new housing such a priority?</w:t>
      </w:r>
    </w:p>
    <w:p w:rsidR="00343AF6" w:rsidRPr="00343AF6" w:rsidRDefault="00343AF6" w:rsidP="00343AF6"/>
    <w:p w:rsidR="00343AF6" w:rsidRPr="00343AF6" w:rsidRDefault="00343AF6" w:rsidP="00343AF6">
      <w:r w:rsidRPr="00343AF6">
        <w:rPr>
          <w:u w:val="single"/>
        </w:rPr>
        <w:t>Reply:</w:t>
      </w:r>
      <w:r w:rsidRPr="00343AF6">
        <w:t xml:space="preserve"> The city has in recent years experienced a booming housing market with rising house prices, comparable to London. This has led to open-market housing becoming more difficult to obtain and expensive, and has limited the supply of affordable housing. According to Cities Outlook 2013, Oxford has overtaken London as the UK’s least affordable city in terms of housing. The average house price in Oxford is £380,000 while the average salary is £25,800. Average Oxford house prices are now nearly fifteen times higher than average annual incomes. Owner-occupied housing is increasingly out of the reach of people on lower incomes. Oxford is also the least affordable city in the UK for private rented housing.</w:t>
      </w:r>
    </w:p>
    <w:p w:rsidR="00343AF6" w:rsidRPr="00343AF6" w:rsidRDefault="00343AF6" w:rsidP="00343AF6"/>
    <w:p w:rsidR="00343AF6" w:rsidRPr="00343AF6" w:rsidRDefault="00343AF6" w:rsidP="00343AF6">
      <w:r w:rsidRPr="00343AF6">
        <w:t xml:space="preserve">This has caused problems for existing residents wanting to relocate within their local community, and for younger people wanting to buy in Oxford. There are severe pressures on the housing stock, with concentrations of homes in multiple </w:t>
      </w:r>
      <w:proofErr w:type="gramStart"/>
      <w:r w:rsidRPr="00343AF6">
        <w:t>occupation</w:t>
      </w:r>
      <w:proofErr w:type="gramEnd"/>
      <w:r w:rsidRPr="00343AF6">
        <w:t xml:space="preserve"> and many homeless and other vulnerable people. The lack of housing, especially affordable housing, can also make it difficult for employers to retain and recruit staff.</w:t>
      </w:r>
    </w:p>
    <w:p w:rsidR="00343AF6" w:rsidRPr="00343AF6" w:rsidRDefault="00343AF6" w:rsidP="00343AF6"/>
    <w:p w:rsidR="00343AF6" w:rsidRDefault="00343AF6" w:rsidP="00343AF6">
      <w:r w:rsidRPr="00343AF6">
        <w:t xml:space="preserve">The City Council therefore has provision of new housing, and particular affordable housing, as one of its top priorities, due to the clear impacts that the housing </w:t>
      </w:r>
      <w:r w:rsidRPr="00343AF6">
        <w:lastRenderedPageBreak/>
        <w:t>problem is having on local communities and the local economy. The City Council’s approach and further justification is set out in the Corporate Plan.</w:t>
      </w:r>
    </w:p>
    <w:p w:rsidR="00D31DB2" w:rsidRPr="00343AF6" w:rsidRDefault="00D31DB2" w:rsidP="00343AF6"/>
    <w:p w:rsidR="00974F6A" w:rsidRPr="00141E5C" w:rsidRDefault="00974F6A" w:rsidP="00974F6A">
      <w:pPr>
        <w:rPr>
          <w:b/>
          <w:u w:val="single"/>
        </w:rPr>
      </w:pPr>
      <w:r w:rsidRPr="00141E5C">
        <w:rPr>
          <w:b/>
          <w:u w:val="single"/>
        </w:rPr>
        <w:t>Agenda Item 12, Finance, Performance and Risk Quarter 1 Performance</w:t>
      </w:r>
    </w:p>
    <w:p w:rsidR="00974F6A" w:rsidRPr="00343AF6" w:rsidRDefault="00974F6A" w:rsidP="00974F6A"/>
    <w:p w:rsidR="00974F6A" w:rsidRPr="00141E5C" w:rsidRDefault="00141E5C" w:rsidP="00343AF6">
      <w:pPr>
        <w:pStyle w:val="ListParagraph"/>
        <w:ind w:left="0"/>
        <w:rPr>
          <w:b/>
        </w:rPr>
      </w:pPr>
      <w:r w:rsidRPr="00141E5C">
        <w:rPr>
          <w:b/>
          <w:u w:val="single"/>
        </w:rPr>
        <w:t>Question 4</w:t>
      </w:r>
      <w:r w:rsidR="00343AF6" w:rsidRPr="00141E5C">
        <w:rPr>
          <w:b/>
        </w:rPr>
        <w:t xml:space="preserve">: </w:t>
      </w:r>
      <w:r w:rsidR="00974F6A" w:rsidRPr="00141E5C">
        <w:rPr>
          <w:b/>
        </w:rPr>
        <w:t xml:space="preserve">What proportion of the reported percentage recycling rate (target amended to 44% and 45% in this meeting) is actually non-recyclable, </w:t>
      </w:r>
      <w:proofErr w:type="spellStart"/>
      <w:r w:rsidR="00974F6A" w:rsidRPr="00141E5C">
        <w:rPr>
          <w:b/>
        </w:rPr>
        <w:t>ie</w:t>
      </w:r>
      <w:proofErr w:type="spellEnd"/>
      <w:r w:rsidR="00974F6A" w:rsidRPr="00141E5C">
        <w:rPr>
          <w:b/>
        </w:rPr>
        <w:t xml:space="preserve"> has been placed (for whatever reason) in the incorrect bins?</w:t>
      </w:r>
    </w:p>
    <w:p w:rsidR="00141E5C" w:rsidRDefault="00141E5C" w:rsidP="00343AF6">
      <w:pPr>
        <w:pStyle w:val="ListParagraph"/>
        <w:ind w:left="0"/>
      </w:pPr>
    </w:p>
    <w:p w:rsidR="00141E5C" w:rsidRDefault="00141E5C" w:rsidP="00141E5C">
      <w:pPr>
        <w:pStyle w:val="ListParagraph"/>
        <w:ind w:left="0"/>
        <w:jc w:val="both"/>
      </w:pPr>
      <w:r w:rsidRPr="00141E5C">
        <w:rPr>
          <w:u w:val="single"/>
        </w:rPr>
        <w:t>Reply:</w:t>
      </w:r>
      <w:r>
        <w:t xml:space="preserve"> Each month, a percentage of the domestic and trade recyclate collected and taken to the recycling plant is contaminated with waste that cannot be recycled and as a result it is sent to </w:t>
      </w:r>
      <w:proofErr w:type="gramStart"/>
      <w:r>
        <w:t>an energy</w:t>
      </w:r>
      <w:proofErr w:type="gramEnd"/>
      <w:r>
        <w:t xml:space="preserve"> from waste plant. The main reason for such contamination is due to items being placed in the incorrect bin. </w:t>
      </w:r>
    </w:p>
    <w:p w:rsidR="00141E5C" w:rsidRDefault="00141E5C" w:rsidP="00141E5C">
      <w:pPr>
        <w:pStyle w:val="ListParagraph"/>
        <w:ind w:left="0"/>
        <w:jc w:val="both"/>
      </w:pPr>
    </w:p>
    <w:p w:rsidR="00141E5C" w:rsidRDefault="00141E5C" w:rsidP="00141E5C">
      <w:pPr>
        <w:pStyle w:val="ListParagraph"/>
        <w:ind w:left="0"/>
        <w:jc w:val="both"/>
      </w:pPr>
      <w:r>
        <w:t xml:space="preserve">The table below features both the tonnage and % of recycled and contaminated material for the first quarter of 2013. The average is an impressive 3.09%, a huge decrease compared to the first quarter in 2012 which was 1.27% higher at 4.36%. </w:t>
      </w:r>
    </w:p>
    <w:p w:rsidR="00141E5C" w:rsidRDefault="00141E5C" w:rsidP="00141E5C">
      <w:pPr>
        <w:pStyle w:val="ListParagraph"/>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980"/>
        <w:gridCol w:w="2160"/>
        <w:gridCol w:w="1980"/>
      </w:tblGrid>
      <w:tr w:rsidR="00141E5C" w:rsidTr="00D11128">
        <w:tc>
          <w:tcPr>
            <w:tcW w:w="2988" w:type="dxa"/>
            <w:vMerge w:val="restart"/>
          </w:tcPr>
          <w:p w:rsidR="00141E5C" w:rsidRPr="00742F03" w:rsidRDefault="00141E5C" w:rsidP="00D11128">
            <w:pPr>
              <w:pStyle w:val="ListParagraph"/>
              <w:ind w:left="0"/>
              <w:jc w:val="both"/>
            </w:pPr>
          </w:p>
        </w:tc>
        <w:tc>
          <w:tcPr>
            <w:tcW w:w="6120" w:type="dxa"/>
            <w:gridSpan w:val="3"/>
          </w:tcPr>
          <w:p w:rsidR="00141E5C" w:rsidRPr="00742F03" w:rsidRDefault="00141E5C" w:rsidP="00D11128">
            <w:pPr>
              <w:pStyle w:val="ListParagraph"/>
              <w:ind w:left="0"/>
              <w:jc w:val="center"/>
              <w:rPr>
                <w:b/>
                <w:bCs/>
              </w:rPr>
            </w:pPr>
            <w:r w:rsidRPr="00742F03">
              <w:rPr>
                <w:b/>
                <w:bCs/>
              </w:rPr>
              <w:t>Quarter 1 2013</w:t>
            </w:r>
          </w:p>
        </w:tc>
      </w:tr>
      <w:tr w:rsidR="00141E5C" w:rsidTr="00D11128">
        <w:tc>
          <w:tcPr>
            <w:tcW w:w="2988" w:type="dxa"/>
            <w:vMerge/>
          </w:tcPr>
          <w:p w:rsidR="00141E5C" w:rsidRPr="00742F03" w:rsidRDefault="00141E5C" w:rsidP="00D11128">
            <w:pPr>
              <w:pStyle w:val="ListParagraph"/>
              <w:ind w:left="0"/>
              <w:jc w:val="both"/>
            </w:pPr>
          </w:p>
        </w:tc>
        <w:tc>
          <w:tcPr>
            <w:tcW w:w="1980" w:type="dxa"/>
          </w:tcPr>
          <w:p w:rsidR="00141E5C" w:rsidRPr="00742F03" w:rsidRDefault="00141E5C" w:rsidP="00D11128">
            <w:pPr>
              <w:pStyle w:val="ListParagraph"/>
              <w:ind w:left="0"/>
              <w:jc w:val="center"/>
              <w:rPr>
                <w:b/>
                <w:bCs/>
              </w:rPr>
            </w:pPr>
            <w:r w:rsidRPr="00742F03">
              <w:rPr>
                <w:b/>
                <w:bCs/>
              </w:rPr>
              <w:t>April</w:t>
            </w:r>
          </w:p>
        </w:tc>
        <w:tc>
          <w:tcPr>
            <w:tcW w:w="2160" w:type="dxa"/>
          </w:tcPr>
          <w:p w:rsidR="00141E5C" w:rsidRPr="00742F03" w:rsidRDefault="00141E5C" w:rsidP="00D11128">
            <w:pPr>
              <w:pStyle w:val="ListParagraph"/>
              <w:ind w:left="0"/>
              <w:jc w:val="center"/>
              <w:rPr>
                <w:b/>
                <w:bCs/>
              </w:rPr>
            </w:pPr>
            <w:r w:rsidRPr="00742F03">
              <w:rPr>
                <w:b/>
                <w:bCs/>
              </w:rPr>
              <w:t>May</w:t>
            </w:r>
          </w:p>
        </w:tc>
        <w:tc>
          <w:tcPr>
            <w:tcW w:w="1980" w:type="dxa"/>
          </w:tcPr>
          <w:p w:rsidR="00141E5C" w:rsidRPr="00742F03" w:rsidRDefault="00141E5C" w:rsidP="00D11128">
            <w:pPr>
              <w:pStyle w:val="ListParagraph"/>
              <w:ind w:left="0"/>
              <w:jc w:val="center"/>
              <w:rPr>
                <w:b/>
                <w:bCs/>
              </w:rPr>
            </w:pPr>
            <w:r w:rsidRPr="00742F03">
              <w:rPr>
                <w:b/>
                <w:bCs/>
              </w:rPr>
              <w:t>June</w:t>
            </w:r>
          </w:p>
        </w:tc>
      </w:tr>
      <w:tr w:rsidR="00141E5C" w:rsidTr="00D11128">
        <w:tc>
          <w:tcPr>
            <w:tcW w:w="2988" w:type="dxa"/>
          </w:tcPr>
          <w:p w:rsidR="00141E5C" w:rsidRPr="00742F03" w:rsidRDefault="00141E5C" w:rsidP="00D11128">
            <w:pPr>
              <w:pStyle w:val="ListParagraph"/>
              <w:ind w:left="0"/>
              <w:jc w:val="center"/>
              <w:rPr>
                <w:b/>
                <w:bCs/>
              </w:rPr>
            </w:pPr>
            <w:r w:rsidRPr="00742F03">
              <w:rPr>
                <w:b/>
                <w:bCs/>
              </w:rPr>
              <w:t>Tonnes for recycling</w:t>
            </w:r>
            <w:r>
              <w:rPr>
                <w:b/>
                <w:bCs/>
              </w:rPr>
              <w:t xml:space="preserve"> (commingled)</w:t>
            </w:r>
          </w:p>
        </w:tc>
        <w:tc>
          <w:tcPr>
            <w:tcW w:w="1980" w:type="dxa"/>
          </w:tcPr>
          <w:p w:rsidR="00141E5C" w:rsidRPr="00742F03" w:rsidRDefault="00141E5C" w:rsidP="00D11128">
            <w:pPr>
              <w:pStyle w:val="ListParagraph"/>
              <w:ind w:left="0"/>
              <w:jc w:val="center"/>
            </w:pPr>
            <w:r w:rsidRPr="00742F03">
              <w:t xml:space="preserve">1192.62 </w:t>
            </w:r>
            <w:r w:rsidRPr="00742F03">
              <w:rPr>
                <w:b/>
                <w:bCs/>
              </w:rPr>
              <w:t>(97.16%)</w:t>
            </w:r>
          </w:p>
        </w:tc>
        <w:tc>
          <w:tcPr>
            <w:tcW w:w="2160" w:type="dxa"/>
          </w:tcPr>
          <w:p w:rsidR="00141E5C" w:rsidRPr="00742F03" w:rsidRDefault="00141E5C" w:rsidP="00D11128">
            <w:pPr>
              <w:pStyle w:val="ListParagraph"/>
              <w:ind w:left="0"/>
              <w:jc w:val="center"/>
            </w:pPr>
            <w:r w:rsidRPr="00742F03">
              <w:t>1352.73</w:t>
            </w:r>
            <w:r w:rsidRPr="00742F03">
              <w:br/>
              <w:t xml:space="preserve"> </w:t>
            </w:r>
            <w:r w:rsidRPr="00742F03">
              <w:rPr>
                <w:b/>
                <w:bCs/>
              </w:rPr>
              <w:t>(96.65%)</w:t>
            </w:r>
          </w:p>
        </w:tc>
        <w:tc>
          <w:tcPr>
            <w:tcW w:w="1980" w:type="dxa"/>
          </w:tcPr>
          <w:p w:rsidR="00141E5C" w:rsidRPr="00742F03" w:rsidRDefault="00141E5C" w:rsidP="00D11128">
            <w:pPr>
              <w:pStyle w:val="ListParagraph"/>
              <w:ind w:left="0"/>
              <w:jc w:val="center"/>
            </w:pPr>
            <w:r w:rsidRPr="00742F03">
              <w:t xml:space="preserve">1255.51 </w:t>
            </w:r>
            <w:r w:rsidRPr="00742F03">
              <w:br/>
            </w:r>
            <w:r w:rsidRPr="00742F03">
              <w:rPr>
                <w:b/>
                <w:bCs/>
              </w:rPr>
              <w:t>(96.91%)</w:t>
            </w:r>
          </w:p>
        </w:tc>
      </w:tr>
      <w:tr w:rsidR="00141E5C" w:rsidTr="00D11128">
        <w:tc>
          <w:tcPr>
            <w:tcW w:w="2988" w:type="dxa"/>
          </w:tcPr>
          <w:p w:rsidR="00141E5C" w:rsidRPr="00742F03" w:rsidRDefault="00141E5C" w:rsidP="00D11128">
            <w:pPr>
              <w:pStyle w:val="ListParagraph"/>
              <w:ind w:left="0"/>
              <w:jc w:val="center"/>
              <w:rPr>
                <w:b/>
                <w:bCs/>
              </w:rPr>
            </w:pPr>
            <w:r w:rsidRPr="00742F03">
              <w:rPr>
                <w:b/>
                <w:bCs/>
              </w:rPr>
              <w:t>Tonnes rejected to landfill</w:t>
            </w:r>
            <w:r>
              <w:rPr>
                <w:b/>
                <w:bCs/>
              </w:rPr>
              <w:t xml:space="preserve"> (contamination)</w:t>
            </w:r>
          </w:p>
        </w:tc>
        <w:tc>
          <w:tcPr>
            <w:tcW w:w="1980" w:type="dxa"/>
          </w:tcPr>
          <w:p w:rsidR="00141E5C" w:rsidRPr="00742F03" w:rsidRDefault="00141E5C" w:rsidP="00D11128">
            <w:pPr>
              <w:pStyle w:val="ListParagraph"/>
              <w:ind w:left="0"/>
              <w:jc w:val="center"/>
            </w:pPr>
            <w:r w:rsidRPr="00742F03">
              <w:t xml:space="preserve">34.86 </w:t>
            </w:r>
            <w:r w:rsidRPr="00742F03">
              <w:br/>
            </w:r>
            <w:r w:rsidRPr="00742F03">
              <w:rPr>
                <w:b/>
                <w:bCs/>
              </w:rPr>
              <w:t>(2.84%)</w:t>
            </w:r>
          </w:p>
        </w:tc>
        <w:tc>
          <w:tcPr>
            <w:tcW w:w="2160" w:type="dxa"/>
          </w:tcPr>
          <w:p w:rsidR="00141E5C" w:rsidRPr="00742F03" w:rsidRDefault="00141E5C" w:rsidP="00D11128">
            <w:pPr>
              <w:pStyle w:val="ListParagraph"/>
              <w:ind w:left="0"/>
              <w:jc w:val="center"/>
            </w:pPr>
            <w:r w:rsidRPr="00742F03">
              <w:t xml:space="preserve">46.89 </w:t>
            </w:r>
            <w:r w:rsidRPr="00742F03">
              <w:br/>
            </w:r>
            <w:r w:rsidRPr="00742F03">
              <w:rPr>
                <w:b/>
                <w:bCs/>
              </w:rPr>
              <w:t>(3.35%)</w:t>
            </w:r>
          </w:p>
        </w:tc>
        <w:tc>
          <w:tcPr>
            <w:tcW w:w="1980" w:type="dxa"/>
          </w:tcPr>
          <w:p w:rsidR="00141E5C" w:rsidRPr="00742F03" w:rsidRDefault="00141E5C" w:rsidP="00D11128">
            <w:pPr>
              <w:pStyle w:val="ListParagraph"/>
              <w:ind w:left="0"/>
              <w:jc w:val="center"/>
            </w:pPr>
            <w:r w:rsidRPr="00742F03">
              <w:t xml:space="preserve">40.03 </w:t>
            </w:r>
            <w:r w:rsidRPr="00742F03">
              <w:br/>
            </w:r>
            <w:r w:rsidRPr="006A7BB7">
              <w:rPr>
                <w:b/>
                <w:bCs/>
              </w:rPr>
              <w:t>(3.09%)</w:t>
            </w:r>
          </w:p>
        </w:tc>
      </w:tr>
    </w:tbl>
    <w:p w:rsidR="00141E5C" w:rsidRDefault="00141E5C" w:rsidP="00141E5C">
      <w:pPr>
        <w:pStyle w:val="ListParagraph"/>
        <w:ind w:left="0"/>
        <w:rPr>
          <w:b/>
        </w:rPr>
      </w:pPr>
    </w:p>
    <w:p w:rsidR="00141E5C" w:rsidRDefault="00141E5C" w:rsidP="00343AF6">
      <w:pPr>
        <w:pStyle w:val="ListParagraph"/>
        <w:ind w:left="0"/>
      </w:pPr>
    </w:p>
    <w:p w:rsidR="00974F6A" w:rsidRPr="00343AF6" w:rsidRDefault="00974F6A" w:rsidP="00974F6A">
      <w:pPr>
        <w:pStyle w:val="ListParagraph"/>
        <w:ind w:left="0"/>
      </w:pPr>
    </w:p>
    <w:p w:rsidR="00974F6A" w:rsidRPr="00141E5C" w:rsidRDefault="00141E5C" w:rsidP="00343AF6">
      <w:pPr>
        <w:pStyle w:val="ListParagraph"/>
        <w:ind w:left="0"/>
        <w:rPr>
          <w:b/>
        </w:rPr>
      </w:pPr>
      <w:r w:rsidRPr="00141E5C">
        <w:rPr>
          <w:b/>
          <w:u w:val="single"/>
        </w:rPr>
        <w:t>Question 5</w:t>
      </w:r>
      <w:r w:rsidR="00343AF6" w:rsidRPr="00141E5C">
        <w:rPr>
          <w:b/>
        </w:rPr>
        <w:t xml:space="preserve">: </w:t>
      </w:r>
      <w:r w:rsidR="00974F6A" w:rsidRPr="00141E5C">
        <w:rPr>
          <w:b/>
        </w:rPr>
        <w:t>What is the actual value of waste (in terms of tonnes or other similar metric, not a ratio), in total, and split between recyclable and non-recyclable, disposed for by or on behalf of the Council for each of the last three years?</w:t>
      </w:r>
    </w:p>
    <w:p w:rsidR="00141E5C" w:rsidRPr="00141E5C" w:rsidRDefault="00141E5C" w:rsidP="00343AF6">
      <w:pPr>
        <w:pStyle w:val="ListParagraph"/>
        <w:ind w:left="0"/>
        <w:rPr>
          <w:b/>
        </w:rPr>
      </w:pPr>
    </w:p>
    <w:p w:rsidR="00141E5C" w:rsidRDefault="00141E5C" w:rsidP="00141E5C">
      <w:pPr>
        <w:pStyle w:val="ListParagraph"/>
        <w:ind w:left="0"/>
        <w:jc w:val="both"/>
      </w:pPr>
      <w:r w:rsidRPr="00141E5C">
        <w:rPr>
          <w:u w:val="single"/>
        </w:rPr>
        <w:t>Reply:</w:t>
      </w:r>
      <w:r>
        <w:t xml:space="preserve"> The table below shows both the total tonnage of refuse (landfill) waste and recyclate material for the previous three years. </w:t>
      </w:r>
    </w:p>
    <w:p w:rsidR="00141E5C" w:rsidRDefault="00141E5C" w:rsidP="00141E5C">
      <w:pPr>
        <w:pStyle w:val="ListParagraph"/>
        <w:jc w:val="both"/>
      </w:pPr>
    </w:p>
    <w:p w:rsidR="00141E5C" w:rsidRDefault="00141E5C" w:rsidP="00141E5C">
      <w:pPr>
        <w:pStyle w:val="ListParagraph"/>
        <w:ind w:left="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2528"/>
        <w:gridCol w:w="3060"/>
        <w:gridCol w:w="1980"/>
      </w:tblGrid>
      <w:tr w:rsidR="00141E5C" w:rsidTr="00D11128">
        <w:tc>
          <w:tcPr>
            <w:tcW w:w="1540" w:type="dxa"/>
          </w:tcPr>
          <w:p w:rsidR="00141E5C" w:rsidRPr="00742F03" w:rsidRDefault="00141E5C" w:rsidP="00D11128">
            <w:pPr>
              <w:pStyle w:val="ListParagraph"/>
              <w:ind w:left="0"/>
              <w:jc w:val="center"/>
              <w:rPr>
                <w:b/>
                <w:bCs/>
              </w:rPr>
            </w:pPr>
            <w:r w:rsidRPr="00742F03">
              <w:rPr>
                <w:b/>
                <w:bCs/>
              </w:rPr>
              <w:t>Year</w:t>
            </w:r>
          </w:p>
        </w:tc>
        <w:tc>
          <w:tcPr>
            <w:tcW w:w="2528" w:type="dxa"/>
          </w:tcPr>
          <w:p w:rsidR="00141E5C" w:rsidRPr="00742F03" w:rsidRDefault="00141E5C" w:rsidP="00D11128">
            <w:pPr>
              <w:pStyle w:val="ListParagraph"/>
              <w:ind w:left="0"/>
              <w:jc w:val="center"/>
              <w:rPr>
                <w:b/>
                <w:bCs/>
              </w:rPr>
            </w:pPr>
            <w:r w:rsidRPr="00742F03">
              <w:rPr>
                <w:b/>
                <w:bCs/>
              </w:rPr>
              <w:t>Refuse (tonnes)</w:t>
            </w:r>
          </w:p>
        </w:tc>
        <w:tc>
          <w:tcPr>
            <w:tcW w:w="3060" w:type="dxa"/>
          </w:tcPr>
          <w:p w:rsidR="00141E5C" w:rsidRPr="00742F03" w:rsidRDefault="00141E5C" w:rsidP="00D11128">
            <w:pPr>
              <w:pStyle w:val="ListParagraph"/>
              <w:ind w:left="0"/>
              <w:jc w:val="center"/>
              <w:rPr>
                <w:b/>
                <w:bCs/>
              </w:rPr>
            </w:pPr>
            <w:r w:rsidRPr="00742F03">
              <w:rPr>
                <w:b/>
                <w:bCs/>
              </w:rPr>
              <w:t>Recyclate (commingled &amp; compost – tonnes)</w:t>
            </w:r>
          </w:p>
        </w:tc>
        <w:tc>
          <w:tcPr>
            <w:tcW w:w="1980" w:type="dxa"/>
          </w:tcPr>
          <w:p w:rsidR="00141E5C" w:rsidRPr="00742F03" w:rsidRDefault="00141E5C" w:rsidP="00D11128">
            <w:pPr>
              <w:pStyle w:val="ListParagraph"/>
              <w:ind w:left="0"/>
              <w:jc w:val="center"/>
              <w:rPr>
                <w:b/>
                <w:bCs/>
              </w:rPr>
            </w:pPr>
            <w:r w:rsidRPr="00742F03">
              <w:rPr>
                <w:b/>
                <w:bCs/>
              </w:rPr>
              <w:t>Total (tonnes)</w:t>
            </w:r>
          </w:p>
        </w:tc>
      </w:tr>
      <w:tr w:rsidR="00141E5C" w:rsidTr="00D11128">
        <w:tc>
          <w:tcPr>
            <w:tcW w:w="1540" w:type="dxa"/>
          </w:tcPr>
          <w:p w:rsidR="00141E5C" w:rsidRPr="00742F03" w:rsidRDefault="00141E5C" w:rsidP="00D11128">
            <w:pPr>
              <w:pStyle w:val="ListParagraph"/>
              <w:ind w:left="0"/>
              <w:jc w:val="center"/>
            </w:pPr>
            <w:r w:rsidRPr="00742F03">
              <w:t>2010-2011</w:t>
            </w:r>
          </w:p>
        </w:tc>
        <w:tc>
          <w:tcPr>
            <w:tcW w:w="2528" w:type="dxa"/>
          </w:tcPr>
          <w:p w:rsidR="00141E5C" w:rsidRPr="00742F03" w:rsidRDefault="00141E5C" w:rsidP="00D11128">
            <w:pPr>
              <w:pStyle w:val="ListParagraph"/>
              <w:ind w:left="0"/>
              <w:jc w:val="center"/>
            </w:pPr>
            <w:r w:rsidRPr="00742F03">
              <w:t>32</w:t>
            </w:r>
            <w:r>
              <w:t>,</w:t>
            </w:r>
            <w:r w:rsidRPr="00742F03">
              <w:t>906</w:t>
            </w:r>
            <w:r>
              <w:t>,</w:t>
            </w:r>
            <w:r w:rsidRPr="00742F03">
              <w:t>64</w:t>
            </w:r>
          </w:p>
        </w:tc>
        <w:tc>
          <w:tcPr>
            <w:tcW w:w="3060" w:type="dxa"/>
          </w:tcPr>
          <w:p w:rsidR="00141E5C" w:rsidRPr="00742F03" w:rsidRDefault="00141E5C" w:rsidP="00D11128">
            <w:pPr>
              <w:pStyle w:val="ListParagraph"/>
              <w:ind w:left="0"/>
              <w:jc w:val="center"/>
            </w:pPr>
            <w:r w:rsidRPr="00742F03">
              <w:t>21</w:t>
            </w:r>
            <w:r>
              <w:t>,280,</w:t>
            </w:r>
            <w:r w:rsidRPr="00742F03">
              <w:t>57</w:t>
            </w:r>
          </w:p>
        </w:tc>
        <w:tc>
          <w:tcPr>
            <w:tcW w:w="1980" w:type="dxa"/>
          </w:tcPr>
          <w:p w:rsidR="00141E5C" w:rsidRPr="00742F03" w:rsidRDefault="00141E5C" w:rsidP="00D11128">
            <w:pPr>
              <w:pStyle w:val="ListParagraph"/>
              <w:ind w:left="0"/>
              <w:jc w:val="center"/>
            </w:pPr>
            <w:r w:rsidRPr="00742F03">
              <w:t>54</w:t>
            </w:r>
            <w:r>
              <w:t>,</w:t>
            </w:r>
            <w:r w:rsidRPr="00742F03">
              <w:t>187</w:t>
            </w:r>
            <w:r>
              <w:t>,</w:t>
            </w:r>
            <w:r w:rsidRPr="00742F03">
              <w:t>21</w:t>
            </w:r>
          </w:p>
        </w:tc>
      </w:tr>
      <w:tr w:rsidR="00141E5C" w:rsidTr="00D11128">
        <w:tc>
          <w:tcPr>
            <w:tcW w:w="1540" w:type="dxa"/>
          </w:tcPr>
          <w:p w:rsidR="00141E5C" w:rsidRPr="00742F03" w:rsidRDefault="00141E5C" w:rsidP="00D11128">
            <w:pPr>
              <w:pStyle w:val="ListParagraph"/>
              <w:ind w:left="0"/>
              <w:jc w:val="center"/>
            </w:pPr>
            <w:r w:rsidRPr="00742F03">
              <w:t>2011-2012</w:t>
            </w:r>
          </w:p>
        </w:tc>
        <w:tc>
          <w:tcPr>
            <w:tcW w:w="2528" w:type="dxa"/>
          </w:tcPr>
          <w:p w:rsidR="00141E5C" w:rsidRPr="00742F03" w:rsidRDefault="00141E5C" w:rsidP="00D11128">
            <w:pPr>
              <w:pStyle w:val="ListParagraph"/>
              <w:ind w:left="0"/>
              <w:jc w:val="center"/>
            </w:pPr>
            <w:r w:rsidRPr="00742F03">
              <w:t>31</w:t>
            </w:r>
            <w:r>
              <w:t>,235,</w:t>
            </w:r>
            <w:r w:rsidRPr="00742F03">
              <w:t>95</w:t>
            </w:r>
          </w:p>
        </w:tc>
        <w:tc>
          <w:tcPr>
            <w:tcW w:w="3060" w:type="dxa"/>
          </w:tcPr>
          <w:p w:rsidR="00141E5C" w:rsidRPr="00742F03" w:rsidRDefault="00141E5C" w:rsidP="00D11128">
            <w:pPr>
              <w:pStyle w:val="ListParagraph"/>
              <w:ind w:left="0"/>
              <w:jc w:val="center"/>
            </w:pPr>
            <w:r w:rsidRPr="00742F03">
              <w:t>22</w:t>
            </w:r>
            <w:r>
              <w:t>,184,</w:t>
            </w:r>
            <w:r w:rsidRPr="00742F03">
              <w:t>31</w:t>
            </w:r>
          </w:p>
        </w:tc>
        <w:tc>
          <w:tcPr>
            <w:tcW w:w="1980" w:type="dxa"/>
          </w:tcPr>
          <w:p w:rsidR="00141E5C" w:rsidRPr="00742F03" w:rsidRDefault="00141E5C" w:rsidP="00D11128">
            <w:pPr>
              <w:pStyle w:val="ListParagraph"/>
              <w:ind w:left="0"/>
              <w:jc w:val="center"/>
            </w:pPr>
            <w:r w:rsidRPr="00742F03">
              <w:t>53</w:t>
            </w:r>
            <w:r>
              <w:t>,420,</w:t>
            </w:r>
            <w:r w:rsidRPr="00742F03">
              <w:t>26</w:t>
            </w:r>
          </w:p>
        </w:tc>
      </w:tr>
      <w:tr w:rsidR="00141E5C" w:rsidTr="00D11128">
        <w:tc>
          <w:tcPr>
            <w:tcW w:w="1540" w:type="dxa"/>
          </w:tcPr>
          <w:p w:rsidR="00141E5C" w:rsidRPr="00742F03" w:rsidRDefault="00141E5C" w:rsidP="00D11128">
            <w:pPr>
              <w:pStyle w:val="ListParagraph"/>
              <w:ind w:left="0"/>
              <w:jc w:val="center"/>
            </w:pPr>
            <w:r w:rsidRPr="00742F03">
              <w:t>2012-2013</w:t>
            </w:r>
          </w:p>
        </w:tc>
        <w:tc>
          <w:tcPr>
            <w:tcW w:w="2528" w:type="dxa"/>
          </w:tcPr>
          <w:p w:rsidR="00141E5C" w:rsidRPr="00742F03" w:rsidRDefault="00141E5C" w:rsidP="00D11128">
            <w:pPr>
              <w:pStyle w:val="ListParagraph"/>
              <w:ind w:left="0"/>
              <w:jc w:val="center"/>
            </w:pPr>
            <w:r w:rsidRPr="00742F03">
              <w:t>30</w:t>
            </w:r>
            <w:r>
              <w:t>,840,</w:t>
            </w:r>
            <w:r w:rsidRPr="00742F03">
              <w:t>01</w:t>
            </w:r>
          </w:p>
        </w:tc>
        <w:tc>
          <w:tcPr>
            <w:tcW w:w="3060" w:type="dxa"/>
          </w:tcPr>
          <w:p w:rsidR="00141E5C" w:rsidRPr="00742F03" w:rsidRDefault="00141E5C" w:rsidP="00D11128">
            <w:pPr>
              <w:pStyle w:val="ListParagraph"/>
              <w:ind w:left="0"/>
              <w:jc w:val="center"/>
            </w:pPr>
            <w:r w:rsidRPr="00742F03">
              <w:t>23</w:t>
            </w:r>
            <w:r>
              <w:t>,099,</w:t>
            </w:r>
            <w:r w:rsidRPr="00742F03">
              <w:t>14</w:t>
            </w:r>
          </w:p>
        </w:tc>
        <w:tc>
          <w:tcPr>
            <w:tcW w:w="1980" w:type="dxa"/>
          </w:tcPr>
          <w:p w:rsidR="00141E5C" w:rsidRPr="00742F03" w:rsidRDefault="00141E5C" w:rsidP="00D11128">
            <w:pPr>
              <w:pStyle w:val="ListParagraph"/>
              <w:ind w:left="0"/>
              <w:jc w:val="center"/>
            </w:pPr>
            <w:r w:rsidRPr="00742F03">
              <w:t>53</w:t>
            </w:r>
            <w:r>
              <w:t>,939,</w:t>
            </w:r>
            <w:r w:rsidRPr="00742F03">
              <w:t>15</w:t>
            </w:r>
          </w:p>
        </w:tc>
      </w:tr>
    </w:tbl>
    <w:p w:rsidR="00141E5C" w:rsidRDefault="00141E5C" w:rsidP="00141E5C">
      <w:pPr>
        <w:pStyle w:val="ListParagraph"/>
        <w:ind w:left="0"/>
        <w:jc w:val="both"/>
      </w:pPr>
    </w:p>
    <w:p w:rsidR="00141E5C" w:rsidRDefault="00141E5C" w:rsidP="00141E5C">
      <w:pPr>
        <w:pStyle w:val="ListParagraph"/>
        <w:ind w:left="0"/>
        <w:jc w:val="both"/>
        <w:rPr>
          <w:color w:val="FF0000"/>
        </w:rPr>
      </w:pPr>
      <w:r>
        <w:t xml:space="preserve">The figures reveal that there has been a year on year decrease in refuse waste by an average of 1033.32 tonnes while recyclate has continued to increase at an average rate of 909.29 tonnes per year.  </w:t>
      </w:r>
    </w:p>
    <w:p w:rsidR="00141E5C" w:rsidRDefault="00141E5C" w:rsidP="00141E5C">
      <w:pPr>
        <w:pStyle w:val="ListParagraph"/>
        <w:rPr>
          <w:b/>
        </w:rPr>
      </w:pPr>
    </w:p>
    <w:p w:rsidR="00974F6A" w:rsidRDefault="00974F6A" w:rsidP="00974F6A">
      <w:pPr>
        <w:pStyle w:val="ListParagraph"/>
      </w:pPr>
    </w:p>
    <w:p w:rsidR="00D31DB2" w:rsidRDefault="00D31DB2" w:rsidP="00974F6A">
      <w:pPr>
        <w:pStyle w:val="ListParagraph"/>
      </w:pPr>
    </w:p>
    <w:p w:rsidR="00D31DB2" w:rsidRDefault="00D31DB2" w:rsidP="00974F6A">
      <w:pPr>
        <w:pStyle w:val="ListParagraph"/>
      </w:pPr>
    </w:p>
    <w:p w:rsidR="00D31DB2" w:rsidRPr="00343AF6" w:rsidRDefault="00D31DB2" w:rsidP="00974F6A">
      <w:pPr>
        <w:pStyle w:val="ListParagraph"/>
      </w:pPr>
      <w:bookmarkStart w:id="0" w:name="_GoBack"/>
      <w:bookmarkEnd w:id="0"/>
    </w:p>
    <w:p w:rsidR="00974F6A" w:rsidRPr="00141E5C" w:rsidRDefault="00141E5C" w:rsidP="00343AF6">
      <w:pPr>
        <w:pStyle w:val="ListParagraph"/>
        <w:ind w:left="0"/>
        <w:rPr>
          <w:b/>
        </w:rPr>
      </w:pPr>
      <w:r w:rsidRPr="00141E5C">
        <w:rPr>
          <w:b/>
          <w:u w:val="single"/>
        </w:rPr>
        <w:lastRenderedPageBreak/>
        <w:t>Question 6</w:t>
      </w:r>
      <w:r w:rsidR="00343AF6" w:rsidRPr="00141E5C">
        <w:rPr>
          <w:b/>
          <w:u w:val="single"/>
        </w:rPr>
        <w:t xml:space="preserve">: </w:t>
      </w:r>
      <w:r w:rsidR="00974F6A" w:rsidRPr="00141E5C">
        <w:rPr>
          <w:b/>
        </w:rPr>
        <w:t>Following on from the previous question, what is the target reduction in total waste from these actual figures for the next two years?</w:t>
      </w:r>
    </w:p>
    <w:p w:rsidR="00343AF6" w:rsidRPr="00141E5C" w:rsidRDefault="00343AF6" w:rsidP="00343AF6">
      <w:pPr>
        <w:pStyle w:val="ListParagraph"/>
        <w:ind w:left="0"/>
        <w:rPr>
          <w:b/>
        </w:rPr>
      </w:pPr>
    </w:p>
    <w:p w:rsidR="00141E5C" w:rsidRDefault="00141E5C" w:rsidP="00343AF6">
      <w:pPr>
        <w:pStyle w:val="ListParagraph"/>
        <w:ind w:left="0"/>
      </w:pPr>
    </w:p>
    <w:p w:rsidR="00141E5C" w:rsidRDefault="00141E5C" w:rsidP="00141E5C">
      <w:pPr>
        <w:pStyle w:val="ListParagraph"/>
        <w:ind w:left="0"/>
        <w:jc w:val="both"/>
      </w:pPr>
      <w:r w:rsidRPr="00141E5C">
        <w:rPr>
          <w:u w:val="single"/>
        </w:rPr>
        <w:t>Reply:</w:t>
      </w:r>
      <w:r>
        <w:rPr>
          <w:u w:val="single"/>
        </w:rPr>
        <w:t xml:space="preserve"> </w:t>
      </w:r>
      <w:r>
        <w:t xml:space="preserve">There are many variables associated with compiling a total waste </w:t>
      </w:r>
      <w:proofErr w:type="gramStart"/>
      <w:r>
        <w:t>figure,</w:t>
      </w:r>
      <w:proofErr w:type="gramEnd"/>
      <w:r>
        <w:t xml:space="preserve"> not least the annual changes in the number of households and the changes to the number of different items that can be recycled.  The only weight measured target involves the number of kilograms of residual waste (non-recyclate) collected per household which is targeted to reduce by a total of 3.38% over the next two years.</w:t>
      </w:r>
    </w:p>
    <w:p w:rsidR="00141E5C" w:rsidRDefault="00141E5C" w:rsidP="00141E5C">
      <w:pPr>
        <w:pStyle w:val="ListParagraph"/>
      </w:pPr>
    </w:p>
    <w:p w:rsidR="00974F6A" w:rsidRPr="00141E5C" w:rsidRDefault="00974F6A" w:rsidP="00974F6A">
      <w:pPr>
        <w:pStyle w:val="ListParagraph"/>
        <w:rPr>
          <w:b/>
        </w:rPr>
      </w:pPr>
    </w:p>
    <w:p w:rsidR="00974F6A" w:rsidRPr="00141E5C" w:rsidRDefault="00141E5C" w:rsidP="00343AF6">
      <w:pPr>
        <w:rPr>
          <w:b/>
        </w:rPr>
      </w:pPr>
      <w:r w:rsidRPr="00141E5C">
        <w:rPr>
          <w:b/>
          <w:u w:val="single"/>
        </w:rPr>
        <w:t>Question 7</w:t>
      </w:r>
      <w:r w:rsidR="00343AF6" w:rsidRPr="00141E5C">
        <w:rPr>
          <w:b/>
          <w:u w:val="single"/>
        </w:rPr>
        <w:t>:</w:t>
      </w:r>
      <w:r w:rsidR="00343AF6" w:rsidRPr="00141E5C">
        <w:rPr>
          <w:b/>
        </w:rPr>
        <w:t xml:space="preserve"> </w:t>
      </w:r>
      <w:r w:rsidR="00974F6A" w:rsidRPr="00141E5C">
        <w:rPr>
          <w:b/>
          <w:sz w:val="14"/>
          <w:szCs w:val="14"/>
        </w:rPr>
        <w:t xml:space="preserve">  </w:t>
      </w:r>
      <w:r w:rsidR="00974F6A" w:rsidRPr="00141E5C">
        <w:rPr>
          <w:b/>
        </w:rPr>
        <w:t xml:space="preserve">Budget Monitoring Report Para 15 lists “Mitigating” Actions, including no 3, Additional car park income of £50,000. Can you please explain where this additional income came from, and if it was indeed planned as </w:t>
      </w:r>
      <w:proofErr w:type="gramStart"/>
      <w:r w:rsidR="00974F6A" w:rsidRPr="00141E5C">
        <w:rPr>
          <w:b/>
        </w:rPr>
        <w:t>a mitigation</w:t>
      </w:r>
      <w:proofErr w:type="gramEnd"/>
      <w:r w:rsidR="00974F6A" w:rsidRPr="00141E5C">
        <w:rPr>
          <w:b/>
        </w:rPr>
        <w:t xml:space="preserve"> against anticipated overspend in other areas?</w:t>
      </w:r>
    </w:p>
    <w:p w:rsidR="00141E5C" w:rsidRPr="00141E5C" w:rsidRDefault="00141E5C" w:rsidP="00974F6A">
      <w:pPr>
        <w:rPr>
          <w:rFonts w:eastAsia="Times New Roman"/>
          <w:b/>
        </w:rPr>
      </w:pPr>
    </w:p>
    <w:p w:rsidR="00141E5C" w:rsidRPr="00141E5C" w:rsidRDefault="00141E5C" w:rsidP="00141E5C">
      <w:pPr>
        <w:rPr>
          <w:rFonts w:eastAsia="Times New Roman"/>
        </w:rPr>
      </w:pPr>
      <w:r w:rsidRPr="00141E5C">
        <w:rPr>
          <w:rFonts w:eastAsia="Times New Roman"/>
          <w:u w:val="single"/>
        </w:rPr>
        <w:t>Reply</w:t>
      </w:r>
      <w:r>
        <w:rPr>
          <w:rFonts w:eastAsia="Times New Roman"/>
        </w:rPr>
        <w:t xml:space="preserve">: </w:t>
      </w:r>
      <w:r w:rsidRPr="00141E5C">
        <w:rPr>
          <w:rFonts w:eastAsia="Times New Roman"/>
        </w:rPr>
        <w:t xml:space="preserve">The increased car park income of £50k represents 0.6% of total car parking income and is an unbudgeted ‘mitigation’ against the budget pressures which have arisen this year in Direct Services. There is no specific reason for the increased income with the variation being within the normal tolerance of what would be expected. </w:t>
      </w:r>
    </w:p>
    <w:p w:rsidR="00141E5C" w:rsidRPr="00343AF6" w:rsidRDefault="00141E5C" w:rsidP="00974F6A">
      <w:pPr>
        <w:rPr>
          <w:rFonts w:eastAsia="Times New Roman"/>
        </w:rPr>
      </w:pPr>
    </w:p>
    <w:p w:rsidR="00974F6A" w:rsidRPr="00343AF6" w:rsidRDefault="00974F6A" w:rsidP="008A22C6"/>
    <w:sectPr w:rsidR="00974F6A" w:rsidRPr="00343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70C49"/>
    <w:multiLevelType w:val="hybridMultilevel"/>
    <w:tmpl w:val="0082F004"/>
    <w:lvl w:ilvl="0" w:tplc="F6F6FEB4">
      <w:start w:val="1"/>
      <w:numFmt w:val="decimal"/>
      <w:lvlText w:val="%1."/>
      <w:lvlJc w:val="left"/>
      <w:pPr>
        <w:ind w:left="0" w:hanging="360"/>
      </w:pPr>
      <w:rPr>
        <w:rFonts w:cstheme="minorHAnsi"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6A"/>
    <w:rsid w:val="000B4310"/>
    <w:rsid w:val="00141E5C"/>
    <w:rsid w:val="00343AF6"/>
    <w:rsid w:val="004000D7"/>
    <w:rsid w:val="00504E43"/>
    <w:rsid w:val="007908F4"/>
    <w:rsid w:val="008A22C6"/>
    <w:rsid w:val="00974F6A"/>
    <w:rsid w:val="00C07F80"/>
    <w:rsid w:val="00D31DB2"/>
    <w:rsid w:val="00D82D5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F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51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21F77-B9B1-40DD-8902-C18232D8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489C4301</Template>
  <TotalTime>12</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Lois.Stock</dc:creator>
  <cp:lastModifiedBy>Lois.Stock</cp:lastModifiedBy>
  <cp:revision>5</cp:revision>
  <dcterms:created xsi:type="dcterms:W3CDTF">2013-09-06T12:28:00Z</dcterms:created>
  <dcterms:modified xsi:type="dcterms:W3CDTF">2013-09-12T13:47:00Z</dcterms:modified>
</cp:coreProperties>
</file>

<file path=docProps/custom.xml><?xml version="1.0" encoding="utf-8"?>
<op:Properties xmlns:op="http://schemas.openxmlformats.org/officeDocument/2006/custom-properties"/>
</file>